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D0" w:rsidRDefault="00405D79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CF6E8B">
        <w:rPr>
          <w:b/>
          <w:i/>
          <w:noProof w:val="0"/>
          <w:sz w:val="28"/>
          <w:szCs w:val="28"/>
        </w:rPr>
        <w:t xml:space="preserve"> informerer vi om </w:t>
      </w:r>
      <w:r w:rsidR="006E01F4">
        <w:rPr>
          <w:b/>
          <w:i/>
          <w:noProof w:val="0"/>
          <w:sz w:val="28"/>
          <w:szCs w:val="28"/>
        </w:rPr>
        <w:t>oppfølging av våre kvalitetsmål 2013 samt i</w:t>
      </w:r>
      <w:r w:rsidR="006736D0">
        <w:rPr>
          <w:b/>
          <w:i/>
          <w:noProof w:val="0"/>
          <w:sz w:val="28"/>
          <w:szCs w:val="28"/>
        </w:rPr>
        <w:t>nformerer om kvalitetsmål 2014. Derutover gir vi</w:t>
      </w:r>
      <w:r w:rsidR="00197C4A">
        <w:rPr>
          <w:b/>
          <w:i/>
          <w:noProof w:val="0"/>
          <w:sz w:val="28"/>
          <w:szCs w:val="28"/>
        </w:rPr>
        <w:t xml:space="preserve"> en kort HMS-status for NVM</w:t>
      </w:r>
      <w:r w:rsidR="006736D0">
        <w:rPr>
          <w:b/>
          <w:i/>
          <w:noProof w:val="0"/>
          <w:sz w:val="28"/>
          <w:szCs w:val="28"/>
        </w:rPr>
        <w:t xml:space="preserve">. </w:t>
      </w:r>
      <w:r w:rsidR="006E01F4">
        <w:rPr>
          <w:b/>
          <w:i/>
          <w:noProof w:val="0"/>
          <w:sz w:val="28"/>
          <w:szCs w:val="28"/>
        </w:rPr>
        <w:t xml:space="preserve">Vi informerer </w:t>
      </w:r>
      <w:r w:rsidR="006736D0">
        <w:rPr>
          <w:b/>
          <w:i/>
          <w:noProof w:val="0"/>
          <w:sz w:val="28"/>
          <w:szCs w:val="28"/>
        </w:rPr>
        <w:t xml:space="preserve">også </w:t>
      </w:r>
      <w:r w:rsidR="006E01F4">
        <w:rPr>
          <w:b/>
          <w:i/>
          <w:noProof w:val="0"/>
          <w:sz w:val="28"/>
          <w:szCs w:val="28"/>
        </w:rPr>
        <w:t>om at daglig leder</w:t>
      </w:r>
      <w:r w:rsidR="006736D0">
        <w:rPr>
          <w:b/>
          <w:i/>
          <w:noProof w:val="0"/>
          <w:sz w:val="28"/>
          <w:szCs w:val="28"/>
        </w:rPr>
        <w:t xml:space="preserve"> </w:t>
      </w:r>
      <w:r w:rsidR="006E01F4">
        <w:rPr>
          <w:b/>
          <w:i/>
          <w:noProof w:val="0"/>
          <w:sz w:val="28"/>
          <w:szCs w:val="28"/>
        </w:rPr>
        <w:t xml:space="preserve">slutter.  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F954FC" w:rsidRDefault="00F954FC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197C4A" w:rsidRDefault="00197C4A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6736D0" w:rsidP="00EA7812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Kvalitetsmål 2013 og 2014</w:t>
      </w:r>
      <w:r w:rsidR="00A46DF3">
        <w:rPr>
          <w:b/>
          <w:noProof w:val="0"/>
          <w:sz w:val="28"/>
          <w:szCs w:val="28"/>
        </w:rPr>
        <w:t xml:space="preserve"> </w:t>
      </w:r>
      <w:r w:rsidR="00FD3B16">
        <w:rPr>
          <w:noProof w:val="0"/>
          <w:sz w:val="20"/>
        </w:rPr>
        <w:t>(a.bjurulf</w:t>
      </w:r>
      <w:r w:rsidR="00EA7812">
        <w:rPr>
          <w:noProof w:val="0"/>
          <w:sz w:val="20"/>
        </w:rPr>
        <w:t>@m3n.no)</w:t>
      </w:r>
      <w:r w:rsidR="00EA7812">
        <w:rPr>
          <w:noProof w:val="0"/>
          <w:sz w:val="22"/>
          <w:szCs w:val="22"/>
        </w:rPr>
        <w:t xml:space="preserve"> </w:t>
      </w:r>
    </w:p>
    <w:p w:rsidR="006736D0" w:rsidRDefault="00086F8A" w:rsidP="00BA3AA8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H</w:t>
      </w:r>
      <w:r w:rsidR="006736D0">
        <w:rPr>
          <w:noProof w:val="0"/>
          <w:sz w:val="22"/>
          <w:szCs w:val="22"/>
        </w:rPr>
        <w:t>vert år setter NVMN noen kvalitetsmål. Nedenfor kan d</w:t>
      </w:r>
      <w:r>
        <w:rPr>
          <w:noProof w:val="0"/>
          <w:sz w:val="22"/>
          <w:szCs w:val="22"/>
        </w:rPr>
        <w:t>e</w:t>
      </w:r>
      <w:r w:rsidR="006736D0">
        <w:rPr>
          <w:noProof w:val="0"/>
          <w:sz w:val="22"/>
          <w:szCs w:val="22"/>
        </w:rPr>
        <w:t>re se d</w:t>
      </w:r>
      <w:r>
        <w:rPr>
          <w:noProof w:val="0"/>
          <w:sz w:val="22"/>
          <w:szCs w:val="22"/>
        </w:rPr>
        <w:t>e</w:t>
      </w:r>
      <w:r w:rsidR="006736D0">
        <w:rPr>
          <w:noProof w:val="0"/>
          <w:sz w:val="22"/>
          <w:szCs w:val="22"/>
        </w:rPr>
        <w:t xml:space="preserve"> fire kvalitetsmålene for 2013 samt oppfølging</w:t>
      </w:r>
      <w:r>
        <w:rPr>
          <w:noProof w:val="0"/>
          <w:sz w:val="22"/>
          <w:szCs w:val="22"/>
        </w:rPr>
        <w:t>en</w:t>
      </w:r>
      <w:r w:rsidR="006736D0">
        <w:rPr>
          <w:noProof w:val="0"/>
          <w:sz w:val="22"/>
          <w:szCs w:val="22"/>
        </w:rPr>
        <w:t xml:space="preserve"> av dem:</w:t>
      </w:r>
    </w:p>
    <w:p w:rsidR="00086F8A" w:rsidRPr="002C63B9" w:rsidRDefault="00086F8A" w:rsidP="00BA3AA8">
      <w:pPr>
        <w:pStyle w:val="Topptekst"/>
        <w:spacing w:before="120"/>
        <w:rPr>
          <w:noProof w:val="0"/>
          <w:sz w:val="6"/>
          <w:szCs w:val="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426"/>
      </w:tblGrid>
      <w:tr w:rsidR="00086F8A" w:rsidRPr="00086F8A" w:rsidTr="00086F8A">
        <w:tc>
          <w:tcPr>
            <w:tcW w:w="392" w:type="dxa"/>
            <w:shd w:val="clear" w:color="auto" w:fill="D9D9D9" w:themeFill="background1" w:themeFillShade="D9"/>
          </w:tcPr>
          <w:p w:rsidR="00086F8A" w:rsidRPr="00086F8A" w:rsidRDefault="00086F8A" w:rsidP="00BA3AA8">
            <w:pPr>
              <w:pStyle w:val="Topptekst"/>
              <w:spacing w:before="120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086F8A" w:rsidRPr="00086F8A" w:rsidRDefault="00086F8A" w:rsidP="00BA3AA8">
            <w:pPr>
              <w:pStyle w:val="Topptekst"/>
              <w:spacing w:before="120"/>
              <w:rPr>
                <w:b/>
                <w:noProof w:val="0"/>
                <w:sz w:val="22"/>
                <w:szCs w:val="22"/>
              </w:rPr>
            </w:pPr>
            <w:r w:rsidRPr="00086F8A">
              <w:rPr>
                <w:b/>
                <w:noProof w:val="0"/>
                <w:sz w:val="22"/>
                <w:szCs w:val="22"/>
              </w:rPr>
              <w:t>Mål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086F8A" w:rsidRPr="00086F8A" w:rsidRDefault="00086F8A" w:rsidP="00BA3AA8">
            <w:pPr>
              <w:pStyle w:val="Topptekst"/>
              <w:spacing w:before="120"/>
              <w:rPr>
                <w:b/>
                <w:noProof w:val="0"/>
                <w:sz w:val="22"/>
                <w:szCs w:val="22"/>
              </w:rPr>
            </w:pPr>
            <w:r w:rsidRPr="00086F8A">
              <w:rPr>
                <w:b/>
                <w:noProof w:val="0"/>
                <w:sz w:val="22"/>
                <w:szCs w:val="22"/>
              </w:rPr>
              <w:t>Oppfølging</w:t>
            </w:r>
          </w:p>
        </w:tc>
      </w:tr>
      <w:tr w:rsidR="00086F8A" w:rsidTr="00086F8A">
        <w:tc>
          <w:tcPr>
            <w:tcW w:w="392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Det systematiske verdiavviket har i flere år ved de viktigste målekollektiver vanligvis hatt et gjennomsnittlig svakt + avvik. For 2013 har NVM satt som mål at det samlede verdiavviket volumveid for de viktigste målekollektivene skal være innen ± 0,25 %</w:t>
            </w:r>
          </w:p>
        </w:tc>
        <w:tc>
          <w:tcPr>
            <w:tcW w:w="4426" w:type="dxa"/>
          </w:tcPr>
          <w:p w:rsidR="00086F8A" w:rsidRPr="002C63B9" w:rsidRDefault="00086F8A" w:rsidP="00BA3AA8">
            <w:pPr>
              <w:pStyle w:val="Topptekst"/>
              <w:spacing w:before="120"/>
              <w:rPr>
                <w:noProof w:val="0"/>
                <w:color w:val="000000" w:themeColor="dark1"/>
                <w:kern w:val="24"/>
                <w:sz w:val="22"/>
                <w:szCs w:val="22"/>
              </w:rPr>
            </w:pP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 xml:space="preserve">Dette mål nådde vi. Samlet verdiavvik var </w:t>
            </w:r>
            <w:proofErr w:type="gramStart"/>
            <w:r w:rsidR="002C63B9">
              <w:rPr>
                <w:noProof w:val="0"/>
                <w:color w:val="000000" w:themeColor="dark1"/>
                <w:kern w:val="24"/>
                <w:sz w:val="22"/>
                <w:szCs w:val="22"/>
              </w:rPr>
              <w:t xml:space="preserve">på   </w:t>
            </w: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-0</w:t>
            </w:r>
            <w:proofErr w:type="gramEnd"/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,08% (volumveid per målemetode basert på 2008 års volumer).</w:t>
            </w:r>
          </w:p>
        </w:tc>
      </w:tr>
      <w:tr w:rsidR="00086F8A" w:rsidTr="00086F8A">
        <w:tc>
          <w:tcPr>
            <w:tcW w:w="392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Gjennomføre en kampanje der NVM fokuserer på vrakuttak på massevirke</w:t>
            </w:r>
          </w:p>
        </w:tc>
        <w:tc>
          <w:tcPr>
            <w:tcW w:w="4426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 xml:space="preserve">Vi gjennomførte kampanjen. Etter første halvår lå vrakuttaket kvar på samme nivå som tidligere år (71 % </w:t>
            </w:r>
            <w:r w:rsidRPr="00086F8A">
              <w:rPr>
                <w:rFonts w:ascii="Cambria Math" w:hAnsi="Cambria Math" w:cs="Cambria Math"/>
                <w:noProof w:val="0"/>
                <w:color w:val="000000" w:themeColor="dark1"/>
                <w:kern w:val="24"/>
                <w:sz w:val="22"/>
                <w:szCs w:val="22"/>
              </w:rPr>
              <w:t>​</w:t>
            </w: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vrakuttak jan-juni). I andre halvår ble det en forbedring, samlet vrakuttak i 2</w:t>
            </w:r>
            <w:r>
              <w:rPr>
                <w:noProof w:val="0"/>
                <w:color w:val="000000" w:themeColor="dark1"/>
                <w:kern w:val="24"/>
                <w:sz w:val="22"/>
                <w:szCs w:val="22"/>
              </w:rPr>
              <w:t xml:space="preserve">013 var på </w:t>
            </w:r>
            <w:proofErr w:type="gramStart"/>
            <w:r>
              <w:rPr>
                <w:noProof w:val="0"/>
                <w:color w:val="000000" w:themeColor="dark1"/>
                <w:kern w:val="24"/>
                <w:sz w:val="22"/>
                <w:szCs w:val="22"/>
              </w:rPr>
              <w:t>76%</w:t>
            </w:r>
            <w:proofErr w:type="gramEnd"/>
            <w:r>
              <w:rPr>
                <w:noProof w:val="0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</w:tr>
      <w:tr w:rsidR="00086F8A" w:rsidTr="00086F8A">
        <w:tc>
          <w:tcPr>
            <w:tcW w:w="392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Oppdatere B2 Massevirkereglement så det har samme layout som de andre reglementene.</w:t>
            </w:r>
          </w:p>
        </w:tc>
        <w:tc>
          <w:tcPr>
            <w:tcW w:w="4426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Massevirkereglementet er oppdatert</w:t>
            </w:r>
            <w:r w:rsidRPr="00086F8A">
              <w:rPr>
                <w:rFonts w:ascii="Cambria Math" w:hAnsi="Cambria Math" w:cs="Cambria Math"/>
                <w:noProof w:val="0"/>
                <w:color w:val="000000" w:themeColor="dark1"/>
                <w:kern w:val="24"/>
                <w:sz w:val="22"/>
                <w:szCs w:val="22"/>
              </w:rPr>
              <w:t>​</w:t>
            </w: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 xml:space="preserve">, nytt reglement ligger på </w:t>
            </w:r>
            <w:proofErr w:type="spellStart"/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NVMs</w:t>
            </w:r>
            <w:proofErr w:type="spellEnd"/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 xml:space="preserve"> eksterne hjemmeside</w:t>
            </w:r>
          </w:p>
        </w:tc>
      </w:tr>
      <w:tr w:rsidR="00086F8A" w:rsidTr="00086F8A">
        <w:tc>
          <w:tcPr>
            <w:tcW w:w="392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Totalproduktivitet høyere enn snitt siste fire år</w:t>
            </w:r>
          </w:p>
        </w:tc>
        <w:tc>
          <w:tcPr>
            <w:tcW w:w="4426" w:type="dxa"/>
          </w:tcPr>
          <w:p w:rsidR="00086F8A" w:rsidRDefault="00086F8A" w:rsidP="00BA3AA8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 xml:space="preserve">Totalproduktiviteten ble i 2013 55,8 timer per m3, hvilket også er lik snittet </w:t>
            </w:r>
            <w:proofErr w:type="gramStart"/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siste fire årene</w:t>
            </w:r>
            <w:proofErr w:type="gramEnd"/>
            <w:r w:rsidRPr="00086F8A">
              <w:rPr>
                <w:noProof w:val="0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</w:tr>
    </w:tbl>
    <w:p w:rsidR="00086F8A" w:rsidRDefault="00086F8A" w:rsidP="00BA3AA8">
      <w:pPr>
        <w:pStyle w:val="Topptekst"/>
        <w:spacing w:before="120"/>
        <w:rPr>
          <w:noProof w:val="0"/>
          <w:sz w:val="22"/>
          <w:szCs w:val="22"/>
        </w:rPr>
      </w:pPr>
    </w:p>
    <w:p w:rsidR="00086F8A" w:rsidRDefault="002C63B9" w:rsidP="00086F8A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For 2014 har vi følgende mål:</w:t>
      </w:r>
    </w:p>
    <w:p w:rsidR="002C63B9" w:rsidRPr="002C63B9" w:rsidRDefault="002C63B9" w:rsidP="00086F8A">
      <w:pPr>
        <w:pStyle w:val="Topptekst"/>
        <w:spacing w:before="120"/>
        <w:rPr>
          <w:noProof w:val="0"/>
          <w:sz w:val="6"/>
          <w:szCs w:val="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426"/>
      </w:tblGrid>
      <w:tr w:rsidR="00086F8A" w:rsidRPr="00086F8A" w:rsidTr="00086F8A">
        <w:tc>
          <w:tcPr>
            <w:tcW w:w="392" w:type="dxa"/>
            <w:shd w:val="clear" w:color="auto" w:fill="D9D9D9" w:themeFill="background1" w:themeFillShade="D9"/>
          </w:tcPr>
          <w:p w:rsidR="00086F8A" w:rsidRPr="00086F8A" w:rsidRDefault="00086F8A" w:rsidP="00086F8A">
            <w:pPr>
              <w:pStyle w:val="Topptekst"/>
              <w:spacing w:before="120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086F8A" w:rsidRPr="00086F8A" w:rsidRDefault="00086F8A" w:rsidP="00086F8A">
            <w:pPr>
              <w:pStyle w:val="Topptekst"/>
              <w:spacing w:before="120"/>
              <w:rPr>
                <w:b/>
                <w:noProof w:val="0"/>
                <w:sz w:val="22"/>
                <w:szCs w:val="22"/>
              </w:rPr>
            </w:pPr>
            <w:r w:rsidRPr="00086F8A">
              <w:rPr>
                <w:b/>
                <w:noProof w:val="0"/>
                <w:sz w:val="22"/>
                <w:szCs w:val="22"/>
              </w:rPr>
              <w:t>Mål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086F8A" w:rsidRPr="00086F8A" w:rsidRDefault="00086F8A" w:rsidP="00086F8A">
            <w:pPr>
              <w:pStyle w:val="Topptekst"/>
              <w:spacing w:before="120"/>
              <w:rPr>
                <w:b/>
                <w:noProof w:val="0"/>
                <w:sz w:val="22"/>
                <w:szCs w:val="22"/>
              </w:rPr>
            </w:pPr>
            <w:r w:rsidRPr="00086F8A">
              <w:rPr>
                <w:b/>
                <w:noProof w:val="0"/>
                <w:sz w:val="22"/>
                <w:szCs w:val="22"/>
              </w:rPr>
              <w:t>Oppfølging</w:t>
            </w:r>
          </w:p>
        </w:tc>
      </w:tr>
      <w:tr w:rsidR="00086F8A" w:rsidTr="00086F8A">
        <w:tc>
          <w:tcPr>
            <w:tcW w:w="392" w:type="dxa"/>
          </w:tcPr>
          <w:p w:rsidR="00086F8A" w:rsidRDefault="00086F8A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086F8A" w:rsidRDefault="002C63B9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2C63B9">
              <w:rPr>
                <w:noProof w:val="0"/>
                <w:sz w:val="22"/>
                <w:szCs w:val="22"/>
              </w:rPr>
              <w:t>Det systematiske verdiavviket har historisk hatt en tendens til gjennomsnittlig +avvik. NVM satt som mål at det samlede verdiavviket volumveid for de viktigste målekollektivene skal være innen ± 0,25 %.</w:t>
            </w:r>
          </w:p>
        </w:tc>
        <w:tc>
          <w:tcPr>
            <w:tcW w:w="4426" w:type="dxa"/>
          </w:tcPr>
          <w:p w:rsidR="00086F8A" w:rsidRDefault="00086F8A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</w:p>
        </w:tc>
      </w:tr>
      <w:tr w:rsidR="00086F8A" w:rsidTr="00086F8A">
        <w:tc>
          <w:tcPr>
            <w:tcW w:w="392" w:type="dxa"/>
          </w:tcPr>
          <w:p w:rsidR="00086F8A" w:rsidRDefault="00086F8A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086F8A" w:rsidRDefault="002C63B9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2C63B9">
              <w:rPr>
                <w:noProof w:val="0"/>
                <w:sz w:val="22"/>
                <w:szCs w:val="22"/>
              </w:rPr>
              <w:t>Ved måling er det gjennomgående at det blir tatt ut for lite vrak. I 2014 vil NVM fokusere på at det i snitt blir tatt ut mer vrak enn tidligere år, målet er at ta ut 90-110 % av vraket (sammenliknet med kontrollmåling).</w:t>
            </w:r>
          </w:p>
        </w:tc>
        <w:tc>
          <w:tcPr>
            <w:tcW w:w="4426" w:type="dxa"/>
          </w:tcPr>
          <w:p w:rsidR="00086F8A" w:rsidRDefault="00086F8A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</w:p>
        </w:tc>
      </w:tr>
      <w:tr w:rsidR="00086F8A" w:rsidTr="00086F8A">
        <w:tc>
          <w:tcPr>
            <w:tcW w:w="392" w:type="dxa"/>
          </w:tcPr>
          <w:p w:rsidR="00086F8A" w:rsidRDefault="00086F8A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086F8A" w:rsidRDefault="002C63B9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  <w:r w:rsidRPr="002C63B9">
              <w:rPr>
                <w:noProof w:val="0"/>
                <w:sz w:val="22"/>
                <w:szCs w:val="22"/>
              </w:rPr>
              <w:t>Totalproduktivitet høyere enn snitt siste fire år.</w:t>
            </w:r>
          </w:p>
        </w:tc>
        <w:tc>
          <w:tcPr>
            <w:tcW w:w="4426" w:type="dxa"/>
          </w:tcPr>
          <w:p w:rsidR="00086F8A" w:rsidRDefault="00086F8A" w:rsidP="00086F8A">
            <w:pPr>
              <w:pStyle w:val="Topptekst"/>
              <w:spacing w:before="120"/>
              <w:rPr>
                <w:noProof w:val="0"/>
                <w:sz w:val="22"/>
                <w:szCs w:val="22"/>
              </w:rPr>
            </w:pPr>
          </w:p>
        </w:tc>
      </w:tr>
    </w:tbl>
    <w:p w:rsidR="00086F8A" w:rsidRDefault="00086F8A" w:rsidP="00086F8A">
      <w:pPr>
        <w:pStyle w:val="Topptekst"/>
        <w:spacing w:before="120"/>
        <w:rPr>
          <w:noProof w:val="0"/>
          <w:sz w:val="22"/>
          <w:szCs w:val="22"/>
        </w:rPr>
      </w:pPr>
    </w:p>
    <w:p w:rsidR="002C63B9" w:rsidRDefault="002C63B9" w:rsidP="00086F8A">
      <w:pPr>
        <w:pStyle w:val="Topptekst"/>
        <w:spacing w:before="120"/>
        <w:rPr>
          <w:noProof w:val="0"/>
          <w:sz w:val="22"/>
          <w:szCs w:val="22"/>
        </w:rPr>
      </w:pPr>
    </w:p>
    <w:p w:rsidR="002C63B9" w:rsidRDefault="002C63B9" w:rsidP="002C63B9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HMS i NVM i 2013 </w:t>
      </w:r>
      <w:r>
        <w:rPr>
          <w:noProof w:val="0"/>
          <w:sz w:val="20"/>
        </w:rPr>
        <w:t>(a.bjurulf@m3n.no)</w:t>
      </w:r>
      <w:r>
        <w:rPr>
          <w:noProof w:val="0"/>
          <w:sz w:val="22"/>
          <w:szCs w:val="22"/>
        </w:rPr>
        <w:t xml:space="preserve"> </w:t>
      </w:r>
    </w:p>
    <w:p w:rsidR="00086F8A" w:rsidRDefault="002C63B9" w:rsidP="002C63B9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 2013 hadde vi to ulykker, begge med fravær som følg</w:t>
      </w:r>
      <w:r w:rsidR="00197C4A">
        <w:rPr>
          <w:noProof w:val="0"/>
          <w:sz w:val="22"/>
          <w:szCs w:val="22"/>
        </w:rPr>
        <w:t>e</w:t>
      </w:r>
      <w:r>
        <w:rPr>
          <w:noProof w:val="0"/>
          <w:sz w:val="22"/>
          <w:szCs w:val="22"/>
        </w:rPr>
        <w:t>:</w:t>
      </w:r>
    </w:p>
    <w:p w:rsidR="002C63B9" w:rsidRDefault="002C63B9" w:rsidP="00F800BF">
      <w:pPr>
        <w:pStyle w:val="Topptekst"/>
        <w:numPr>
          <w:ilvl w:val="0"/>
          <w:numId w:val="12"/>
        </w:num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Første ulykken var</w:t>
      </w:r>
      <w:r w:rsidR="00F800BF">
        <w:rPr>
          <w:noProof w:val="0"/>
          <w:sz w:val="22"/>
          <w:szCs w:val="22"/>
        </w:rPr>
        <w:t xml:space="preserve"> en alvorlig ulykke på et automatanlegg.</w:t>
      </w:r>
      <w:r w:rsidR="00F800BF" w:rsidRPr="00F800BF">
        <w:t xml:space="preserve"> </w:t>
      </w:r>
      <w:r w:rsidR="00F800BF">
        <w:t>NVMs m</w:t>
      </w:r>
      <w:r w:rsidR="00F800BF" w:rsidRPr="00F800BF">
        <w:rPr>
          <w:noProof w:val="0"/>
          <w:sz w:val="22"/>
          <w:szCs w:val="22"/>
        </w:rPr>
        <w:t>åler g</w:t>
      </w:r>
      <w:r w:rsidR="00F800BF">
        <w:rPr>
          <w:noProof w:val="0"/>
          <w:sz w:val="22"/>
          <w:szCs w:val="22"/>
        </w:rPr>
        <w:t>ikk</w:t>
      </w:r>
      <w:r w:rsidR="00F800BF" w:rsidRPr="00F800BF">
        <w:rPr>
          <w:noProof w:val="0"/>
          <w:sz w:val="22"/>
          <w:szCs w:val="22"/>
        </w:rPr>
        <w:t xml:space="preserve"> opp på kjerrat</w:t>
      </w:r>
      <w:r w:rsidR="00F800BF">
        <w:rPr>
          <w:noProof w:val="0"/>
          <w:sz w:val="22"/>
          <w:szCs w:val="22"/>
        </w:rPr>
        <w:t>en</w:t>
      </w:r>
      <w:r w:rsidR="00F800BF" w:rsidRPr="00F800BF">
        <w:rPr>
          <w:noProof w:val="0"/>
          <w:sz w:val="22"/>
          <w:szCs w:val="22"/>
        </w:rPr>
        <w:t xml:space="preserve"> for å fjerne </w:t>
      </w:r>
      <w:r w:rsidR="00F800BF">
        <w:rPr>
          <w:noProof w:val="0"/>
          <w:sz w:val="22"/>
          <w:szCs w:val="22"/>
        </w:rPr>
        <w:t xml:space="preserve">en </w:t>
      </w:r>
      <w:r w:rsidR="00F800BF" w:rsidRPr="00F800BF">
        <w:rPr>
          <w:noProof w:val="0"/>
          <w:sz w:val="22"/>
          <w:szCs w:val="22"/>
        </w:rPr>
        <w:t>stokk, uten å slå på nødstopp. Kjerrat</w:t>
      </w:r>
      <w:r w:rsidR="00F800BF">
        <w:rPr>
          <w:noProof w:val="0"/>
          <w:sz w:val="22"/>
          <w:szCs w:val="22"/>
        </w:rPr>
        <w:t>en</w:t>
      </w:r>
      <w:r w:rsidR="00F800BF" w:rsidRPr="00F800BF">
        <w:rPr>
          <w:noProof w:val="0"/>
          <w:sz w:val="22"/>
          <w:szCs w:val="22"/>
        </w:rPr>
        <w:t xml:space="preserve"> starte</w:t>
      </w:r>
      <w:r w:rsidR="00F800BF">
        <w:rPr>
          <w:noProof w:val="0"/>
          <w:sz w:val="22"/>
          <w:szCs w:val="22"/>
        </w:rPr>
        <w:t>t</w:t>
      </w:r>
      <w:r w:rsidR="00F800BF" w:rsidRPr="00F800BF">
        <w:rPr>
          <w:noProof w:val="0"/>
          <w:sz w:val="22"/>
          <w:szCs w:val="22"/>
        </w:rPr>
        <w:t xml:space="preserve"> da stokk</w:t>
      </w:r>
      <w:r w:rsidR="00F800BF">
        <w:rPr>
          <w:noProof w:val="0"/>
          <w:sz w:val="22"/>
          <w:szCs w:val="22"/>
        </w:rPr>
        <w:t>en ble</w:t>
      </w:r>
      <w:r w:rsidR="00F800BF" w:rsidRPr="00F800BF">
        <w:rPr>
          <w:noProof w:val="0"/>
          <w:sz w:val="22"/>
          <w:szCs w:val="22"/>
        </w:rPr>
        <w:t xml:space="preserve"> fjernet og måler</w:t>
      </w:r>
      <w:r w:rsidR="00F800BF">
        <w:rPr>
          <w:noProof w:val="0"/>
          <w:sz w:val="22"/>
          <w:szCs w:val="22"/>
        </w:rPr>
        <w:t>en</w:t>
      </w:r>
      <w:r w:rsidR="00F800BF" w:rsidRPr="00F800BF">
        <w:rPr>
          <w:noProof w:val="0"/>
          <w:sz w:val="22"/>
          <w:szCs w:val="22"/>
        </w:rPr>
        <w:t xml:space="preserve"> kom i klem og f</w:t>
      </w:r>
      <w:r w:rsidR="00F800BF">
        <w:rPr>
          <w:noProof w:val="0"/>
          <w:sz w:val="22"/>
          <w:szCs w:val="22"/>
        </w:rPr>
        <w:t>ikk</w:t>
      </w:r>
      <w:r w:rsidR="00F800BF" w:rsidRPr="00F800BF">
        <w:rPr>
          <w:noProof w:val="0"/>
          <w:sz w:val="22"/>
          <w:szCs w:val="22"/>
        </w:rPr>
        <w:t xml:space="preserve"> fotskader</w:t>
      </w:r>
      <w:r w:rsidR="00F800BF">
        <w:rPr>
          <w:noProof w:val="0"/>
          <w:sz w:val="22"/>
          <w:szCs w:val="22"/>
        </w:rPr>
        <w:t>. H</w:t>
      </w:r>
      <w:r w:rsidR="00197C4A">
        <w:rPr>
          <w:noProof w:val="0"/>
          <w:sz w:val="22"/>
          <w:szCs w:val="22"/>
        </w:rPr>
        <w:t xml:space="preserve">an ble sykmeldt i </w:t>
      </w:r>
      <w:r w:rsidR="00F800BF">
        <w:rPr>
          <w:noProof w:val="0"/>
          <w:sz w:val="22"/>
          <w:szCs w:val="22"/>
        </w:rPr>
        <w:t xml:space="preserve">flere måneder. </w:t>
      </w:r>
      <w:r w:rsidR="00197C4A">
        <w:rPr>
          <w:noProof w:val="0"/>
          <w:sz w:val="22"/>
          <w:szCs w:val="22"/>
        </w:rPr>
        <w:t xml:space="preserve">Som en følge av ulykken ble det gjort sikkerhetstiltak på anlegget. NVM </w:t>
      </w:r>
      <w:r w:rsidR="008E13EB">
        <w:rPr>
          <w:noProof w:val="0"/>
          <w:sz w:val="22"/>
          <w:szCs w:val="22"/>
        </w:rPr>
        <w:t>ser også</w:t>
      </w:r>
      <w:r w:rsidR="00197C4A">
        <w:rPr>
          <w:noProof w:val="0"/>
          <w:sz w:val="22"/>
          <w:szCs w:val="22"/>
        </w:rPr>
        <w:t xml:space="preserve"> over sine interne sikkerhetsregler for arbeid på automatanlegg.</w:t>
      </w:r>
    </w:p>
    <w:p w:rsidR="002C63B9" w:rsidRDefault="002C63B9" w:rsidP="002C63B9">
      <w:pPr>
        <w:pStyle w:val="Topptekst"/>
        <w:numPr>
          <w:ilvl w:val="0"/>
          <w:numId w:val="12"/>
        </w:num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Andre ulykken var fall i </w:t>
      </w:r>
      <w:r w:rsidR="00F800BF">
        <w:rPr>
          <w:noProof w:val="0"/>
          <w:sz w:val="22"/>
          <w:szCs w:val="22"/>
        </w:rPr>
        <w:t xml:space="preserve">en deformert </w:t>
      </w:r>
      <w:r>
        <w:rPr>
          <w:noProof w:val="0"/>
          <w:sz w:val="22"/>
          <w:szCs w:val="22"/>
        </w:rPr>
        <w:t>trapp</w:t>
      </w:r>
      <w:r w:rsidR="00F800BF">
        <w:rPr>
          <w:noProof w:val="0"/>
          <w:sz w:val="22"/>
          <w:szCs w:val="22"/>
        </w:rPr>
        <w:t>. Den rammed</w:t>
      </w:r>
      <w:bookmarkStart w:id="0" w:name="_GoBack"/>
      <w:bookmarkEnd w:id="0"/>
      <w:r w:rsidR="00F800BF">
        <w:rPr>
          <w:noProof w:val="0"/>
          <w:sz w:val="22"/>
          <w:szCs w:val="22"/>
        </w:rPr>
        <w:t>e fikk muskelskader men ikke brudd og var borte fra jobb noen dager. Trappen var deformert da avkast fra sagen til tider havner der, etter ulykken ble trappen utbedret.</w:t>
      </w:r>
    </w:p>
    <w:p w:rsidR="002C63B9" w:rsidRDefault="002C63B9" w:rsidP="002C63B9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5E6C1D12">
            <wp:extent cx="4286250" cy="257460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06" cy="2580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3B9" w:rsidRDefault="002C63B9" w:rsidP="002C63B9">
      <w:pPr>
        <w:pStyle w:val="Topptekst"/>
        <w:spacing w:before="120"/>
        <w:rPr>
          <w:noProof w:val="0"/>
          <w:sz w:val="22"/>
          <w:szCs w:val="22"/>
        </w:rPr>
      </w:pPr>
    </w:p>
    <w:p w:rsidR="002C63B9" w:rsidRDefault="00197C4A" w:rsidP="002C63B9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Til vår glede</w:t>
      </w:r>
      <w:r w:rsidR="002C63B9">
        <w:rPr>
          <w:noProof w:val="0"/>
          <w:sz w:val="22"/>
          <w:szCs w:val="22"/>
        </w:rPr>
        <w:t xml:space="preserve"> har vi fortsatt relativt lavt sykefravær – totalt 3,1 % i 2013.</w:t>
      </w:r>
    </w:p>
    <w:p w:rsidR="002C63B9" w:rsidRDefault="002C63B9" w:rsidP="002C63B9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56731D84">
            <wp:extent cx="4648200" cy="2606467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43" cy="260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C4A" w:rsidRDefault="00197C4A" w:rsidP="00197C4A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</w:p>
    <w:p w:rsidR="00197C4A" w:rsidRDefault="00197C4A" w:rsidP="00197C4A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</w:p>
    <w:p w:rsidR="00197C4A" w:rsidRDefault="00197C4A" w:rsidP="00197C4A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 xml:space="preserve">Daglig leder slutter </w:t>
      </w:r>
      <w:r>
        <w:rPr>
          <w:noProof w:val="0"/>
          <w:sz w:val="20"/>
        </w:rPr>
        <w:t>(a.bjurulf@m3n.no)</w:t>
      </w:r>
      <w:r>
        <w:rPr>
          <w:noProof w:val="0"/>
          <w:sz w:val="22"/>
          <w:szCs w:val="22"/>
        </w:rPr>
        <w:t xml:space="preserve"> </w:t>
      </w:r>
    </w:p>
    <w:p w:rsidR="00197C4A" w:rsidRDefault="00197C4A" w:rsidP="00197C4A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Daglig leder har sagt opp sin stilling og det pågår en prosess for å finne ny administrerende direktør for NVM.</w:t>
      </w:r>
    </w:p>
    <w:p w:rsidR="002C63B9" w:rsidRDefault="002C63B9" w:rsidP="002C63B9">
      <w:pPr>
        <w:pStyle w:val="Topptekst"/>
        <w:spacing w:before="120"/>
        <w:rPr>
          <w:noProof w:val="0"/>
          <w:sz w:val="22"/>
          <w:szCs w:val="22"/>
        </w:rPr>
      </w:pPr>
    </w:p>
    <w:p w:rsidR="002C63B9" w:rsidRDefault="002C63B9" w:rsidP="002C63B9">
      <w:pPr>
        <w:pStyle w:val="Topptekst"/>
        <w:spacing w:before="120"/>
        <w:rPr>
          <w:noProof w:val="0"/>
          <w:sz w:val="22"/>
          <w:szCs w:val="22"/>
        </w:rPr>
      </w:pPr>
    </w:p>
    <w:sectPr w:rsidR="002C63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BF" w:rsidRDefault="00F800BF" w:rsidP="00320D53">
      <w:r>
        <w:separator/>
      </w:r>
    </w:p>
  </w:endnote>
  <w:endnote w:type="continuationSeparator" w:id="0">
    <w:p w:rsidR="00F800BF" w:rsidRDefault="00F800BF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BF" w:rsidRDefault="00F800BF" w:rsidP="00320D53">
      <w:r>
        <w:separator/>
      </w:r>
    </w:p>
  </w:footnote>
  <w:footnote w:type="continuationSeparator" w:id="0">
    <w:p w:rsidR="00F800BF" w:rsidRDefault="00F800BF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BF" w:rsidRDefault="00F800BF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4E62E25A" wp14:editId="429286A3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0BF" w:rsidRDefault="00F800BF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2014-01 Dato 26/3</w:t>
                          </w:r>
                        </w:p>
                        <w:p w:rsidR="00F800BF" w:rsidRDefault="00F800BF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F800BF" w:rsidRDefault="00F800BF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2014-01 Dato 26/3</w:t>
                    </w:r>
                  </w:p>
                  <w:p w:rsidR="00F800BF" w:rsidRDefault="00F800BF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0A44034B" wp14:editId="6E3F132F">
          <wp:extent cx="628650" cy="676275"/>
          <wp:effectExtent l="0" t="0" r="0" b="9525"/>
          <wp:docPr id="10" name="Bilde 10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F800BF" w:rsidRDefault="00F800BF">
    <w:pPr>
      <w:pStyle w:val="Topptekst"/>
    </w:pPr>
  </w:p>
  <w:p w:rsidR="00F800BF" w:rsidRDefault="00F800B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4218"/>
    <w:multiLevelType w:val="hybridMultilevel"/>
    <w:tmpl w:val="8BBE5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86F8A"/>
    <w:rsid w:val="000E6DDF"/>
    <w:rsid w:val="000F5BB4"/>
    <w:rsid w:val="00135F01"/>
    <w:rsid w:val="00197C4A"/>
    <w:rsid w:val="001A5660"/>
    <w:rsid w:val="001C7BCA"/>
    <w:rsid w:val="001F722A"/>
    <w:rsid w:val="002C2973"/>
    <w:rsid w:val="002C63B9"/>
    <w:rsid w:val="00320D53"/>
    <w:rsid w:val="00360991"/>
    <w:rsid w:val="003A6AA9"/>
    <w:rsid w:val="00405D79"/>
    <w:rsid w:val="004066F6"/>
    <w:rsid w:val="0042595D"/>
    <w:rsid w:val="00430D71"/>
    <w:rsid w:val="00472DEE"/>
    <w:rsid w:val="004B0F40"/>
    <w:rsid w:val="0055293D"/>
    <w:rsid w:val="005C0AC7"/>
    <w:rsid w:val="005C3A93"/>
    <w:rsid w:val="006002C9"/>
    <w:rsid w:val="006370AA"/>
    <w:rsid w:val="006736D0"/>
    <w:rsid w:val="00681B58"/>
    <w:rsid w:val="006E01F4"/>
    <w:rsid w:val="006F542A"/>
    <w:rsid w:val="00712308"/>
    <w:rsid w:val="007335FB"/>
    <w:rsid w:val="007404DD"/>
    <w:rsid w:val="00775185"/>
    <w:rsid w:val="00781A30"/>
    <w:rsid w:val="00797CE2"/>
    <w:rsid w:val="007A7548"/>
    <w:rsid w:val="00804312"/>
    <w:rsid w:val="00823001"/>
    <w:rsid w:val="00875A6D"/>
    <w:rsid w:val="00886290"/>
    <w:rsid w:val="00886F78"/>
    <w:rsid w:val="00891D3E"/>
    <w:rsid w:val="008E13EB"/>
    <w:rsid w:val="00927A0C"/>
    <w:rsid w:val="00950A79"/>
    <w:rsid w:val="00957C48"/>
    <w:rsid w:val="00975FB4"/>
    <w:rsid w:val="009B6AAE"/>
    <w:rsid w:val="009B73AF"/>
    <w:rsid w:val="009D35CA"/>
    <w:rsid w:val="00A23909"/>
    <w:rsid w:val="00A46DF3"/>
    <w:rsid w:val="00A844D9"/>
    <w:rsid w:val="00AE4239"/>
    <w:rsid w:val="00B57BCA"/>
    <w:rsid w:val="00BA3AA8"/>
    <w:rsid w:val="00BB34D1"/>
    <w:rsid w:val="00BD6E1C"/>
    <w:rsid w:val="00C216C2"/>
    <w:rsid w:val="00C9431F"/>
    <w:rsid w:val="00CB22EB"/>
    <w:rsid w:val="00CC4258"/>
    <w:rsid w:val="00CE1DAC"/>
    <w:rsid w:val="00CF06B2"/>
    <w:rsid w:val="00CF6E8B"/>
    <w:rsid w:val="00D67F73"/>
    <w:rsid w:val="00D76BF7"/>
    <w:rsid w:val="00D94ED9"/>
    <w:rsid w:val="00D955B4"/>
    <w:rsid w:val="00DE3902"/>
    <w:rsid w:val="00DF10CF"/>
    <w:rsid w:val="00E31F92"/>
    <w:rsid w:val="00E56735"/>
    <w:rsid w:val="00EA6ECA"/>
    <w:rsid w:val="00EA7812"/>
    <w:rsid w:val="00EA7DEE"/>
    <w:rsid w:val="00EC0912"/>
    <w:rsid w:val="00EC5D6E"/>
    <w:rsid w:val="00ED0672"/>
    <w:rsid w:val="00EE70BE"/>
    <w:rsid w:val="00F22303"/>
    <w:rsid w:val="00F3151D"/>
    <w:rsid w:val="00F800BF"/>
    <w:rsid w:val="00F92A63"/>
    <w:rsid w:val="00F954FC"/>
    <w:rsid w:val="00FB577C"/>
    <w:rsid w:val="00FC1FB1"/>
    <w:rsid w:val="00FC6E8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6D0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6D0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BDEA-5AE1-4028-A755-51CB2EC3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F7443471.dotm</Template>
  <TotalTime>807</TotalTime>
  <Pages>3</Pages>
  <Words>459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35</cp:revision>
  <cp:lastPrinted>2014-03-26T13:58:00Z</cp:lastPrinted>
  <dcterms:created xsi:type="dcterms:W3CDTF">2012-10-19T10:32:00Z</dcterms:created>
  <dcterms:modified xsi:type="dcterms:W3CDTF">2014-03-26T14:00:00Z</dcterms:modified>
</cp:coreProperties>
</file>